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995C95" w14:textId="77777777" w:rsidR="00AD0369" w:rsidRDefault="00554B47" w:rsidP="00AD0369">
      <w:pPr>
        <w:spacing w:line="480" w:lineRule="auto"/>
        <w:jc w:val="center"/>
        <w:rPr>
          <w:rFonts w:ascii="Times New Roman" w:eastAsia="Times New Roman" w:hAnsi="Times New Roman" w:cs="Times New Roman"/>
          <w:sz w:val="24"/>
          <w:szCs w:val="24"/>
        </w:rPr>
      </w:pPr>
    </w:p>
    <w:p w14:paraId="44B03B53" w14:textId="77777777" w:rsidR="00AD0369" w:rsidRDefault="00554B47" w:rsidP="00AD0369">
      <w:pPr>
        <w:spacing w:line="480" w:lineRule="auto"/>
        <w:jc w:val="center"/>
        <w:rPr>
          <w:rFonts w:ascii="Times New Roman" w:eastAsia="Times New Roman" w:hAnsi="Times New Roman" w:cs="Times New Roman"/>
          <w:sz w:val="24"/>
          <w:szCs w:val="24"/>
        </w:rPr>
      </w:pPr>
    </w:p>
    <w:p w14:paraId="434F9679" w14:textId="77777777" w:rsidR="00AD0369" w:rsidRDefault="00554B47" w:rsidP="00AD0369">
      <w:pPr>
        <w:spacing w:line="480" w:lineRule="auto"/>
        <w:jc w:val="center"/>
        <w:rPr>
          <w:rFonts w:ascii="Times New Roman" w:eastAsia="Times New Roman" w:hAnsi="Times New Roman" w:cs="Times New Roman"/>
          <w:sz w:val="24"/>
          <w:szCs w:val="24"/>
        </w:rPr>
      </w:pPr>
    </w:p>
    <w:p w14:paraId="3CE9361C" w14:textId="77777777" w:rsidR="00AD0369" w:rsidRDefault="00554B47" w:rsidP="00AD0369">
      <w:pPr>
        <w:spacing w:line="480" w:lineRule="auto"/>
        <w:jc w:val="center"/>
        <w:rPr>
          <w:rFonts w:ascii="Times New Roman" w:eastAsia="Times New Roman" w:hAnsi="Times New Roman" w:cs="Times New Roman"/>
          <w:sz w:val="24"/>
          <w:szCs w:val="24"/>
        </w:rPr>
      </w:pPr>
    </w:p>
    <w:p w14:paraId="707B91F1" w14:textId="77777777" w:rsidR="00AD0369" w:rsidRDefault="00554B47" w:rsidP="00AD0369">
      <w:pPr>
        <w:spacing w:line="480" w:lineRule="auto"/>
        <w:jc w:val="center"/>
        <w:rPr>
          <w:rFonts w:ascii="Times New Roman" w:eastAsia="Times New Roman" w:hAnsi="Times New Roman" w:cs="Times New Roman"/>
          <w:sz w:val="24"/>
          <w:szCs w:val="24"/>
        </w:rPr>
      </w:pPr>
    </w:p>
    <w:p w14:paraId="18D5A210" w14:textId="4F224345" w:rsidR="00B27E6A" w:rsidRDefault="00554B47" w:rsidP="00AD0369">
      <w:pPr>
        <w:spacing w:line="480" w:lineRule="auto"/>
        <w:jc w:val="center"/>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Sentencing Disparity</w:t>
      </w:r>
    </w:p>
    <w:p w14:paraId="3E72014E" w14:textId="77777777" w:rsidR="00B27E6A" w:rsidRDefault="00554B47" w:rsidP="00AD0369">
      <w:pPr>
        <w:spacing w:line="480" w:lineRule="auto"/>
        <w:jc w:val="center"/>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Student’s Name</w:t>
      </w:r>
    </w:p>
    <w:p w14:paraId="7A0D99F6" w14:textId="77777777" w:rsidR="00B27E6A" w:rsidRDefault="00554B47" w:rsidP="00AD0369">
      <w:pPr>
        <w:spacing w:line="480" w:lineRule="auto"/>
        <w:jc w:val="center"/>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Institutional Affiliations</w:t>
      </w:r>
    </w:p>
    <w:p w14:paraId="40C016C3" w14:textId="77777777" w:rsidR="00AD0369" w:rsidRDefault="00554B47" w:rsidP="00AD036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D1B97B5" w14:textId="4B9225C7" w:rsidR="00B27E6A" w:rsidRDefault="00554B47" w:rsidP="00AD0369">
      <w:pPr>
        <w:spacing w:line="480" w:lineRule="auto"/>
        <w:jc w:val="center"/>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lastRenderedPageBreak/>
        <w:t>Sentencing Disparity</w:t>
      </w:r>
    </w:p>
    <w:p w14:paraId="1808DE87" w14:textId="77777777" w:rsidR="00B27E6A" w:rsidRPr="002C2DED" w:rsidRDefault="00554B47" w:rsidP="00AD0369">
      <w:pPr>
        <w:spacing w:line="480" w:lineRule="auto"/>
        <w:jc w:val="center"/>
        <w:rPr>
          <w:rFonts w:ascii="Times New Roman" w:eastAsia="Times New Roman" w:hAnsi="Times New Roman" w:cs="Times New Roman"/>
          <w:b/>
          <w:sz w:val="24"/>
          <w:szCs w:val="24"/>
        </w:rPr>
      </w:pPr>
      <w:r w:rsidRPr="002C2DED">
        <w:rPr>
          <w:rFonts w:ascii="Times New Roman" w:eastAsia="Times New Roman" w:hAnsi="Times New Roman" w:cs="Times New Roman"/>
          <w:b/>
          <w:sz w:val="24"/>
          <w:szCs w:val="24"/>
        </w:rPr>
        <w:t>Introduction</w:t>
      </w:r>
    </w:p>
    <w:p w14:paraId="48570D35" w14:textId="7FFB5D81" w:rsidR="00B27E6A" w:rsidRDefault="00554B47" w:rsidP="00AD0369">
      <w:pPr>
        <w:spacing w:line="480" w:lineRule="auto"/>
        <w:ind w:firstLine="720"/>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Sentencing disparit</w:t>
      </w:r>
      <w:r>
        <w:rPr>
          <w:rFonts w:ascii="Times New Roman" w:eastAsia="Times New Roman" w:hAnsi="Times New Roman" w:cs="Times New Roman"/>
          <w:sz w:val="24"/>
          <w:szCs w:val="24"/>
        </w:rPr>
        <w:t>y</w:t>
      </w:r>
      <w:r w:rsidRPr="00B27E6A">
        <w:rPr>
          <w:rFonts w:ascii="Times New Roman" w:eastAsia="Times New Roman" w:hAnsi="Times New Roman" w:cs="Times New Roman"/>
          <w:sz w:val="24"/>
          <w:szCs w:val="24"/>
        </w:rPr>
        <w:t xml:space="preserve"> refers to the intra- and inter-jurisdictional differences which result into unequal </w:t>
      </w:r>
      <w:r w:rsidRPr="00B27E6A">
        <w:rPr>
          <w:rFonts w:ascii="Times New Roman" w:eastAsia="Times New Roman" w:hAnsi="Times New Roman" w:cs="Times New Roman"/>
          <w:sz w:val="24"/>
          <w:szCs w:val="24"/>
        </w:rPr>
        <w:t>treatment</w:t>
      </w:r>
      <w:r w:rsidRPr="00B27E6A">
        <w:rPr>
          <w:rFonts w:ascii="Times New Roman" w:eastAsia="Times New Roman" w:hAnsi="Times New Roman" w:cs="Times New Roman"/>
          <w:sz w:val="24"/>
          <w:szCs w:val="24"/>
        </w:rPr>
        <w:t xml:space="preserve"> that is usually unexplained</w:t>
      </w:r>
      <w:r w:rsidRPr="00B27E6A">
        <w:rPr>
          <w:rFonts w:ascii="Times New Roman" w:eastAsia="Times New Roman" w:hAnsi="Times New Roman" w:cs="Times New Roman"/>
          <w:sz w:val="24"/>
          <w:szCs w:val="24"/>
        </w:rPr>
        <w:t xml:space="preserve"> (Scott, 2010)</w:t>
      </w:r>
      <w:r w:rsidRPr="00B27E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w:t>
      </w:r>
      <w:r w:rsidRPr="00B27E6A">
        <w:rPr>
          <w:rFonts w:ascii="Times New Roman" w:eastAsia="Times New Roman" w:hAnsi="Times New Roman" w:cs="Times New Roman"/>
          <w:sz w:val="24"/>
          <w:szCs w:val="24"/>
        </w:rPr>
        <w:t xml:space="preserve">ituations </w:t>
      </w:r>
      <w:r>
        <w:rPr>
          <w:rFonts w:ascii="Times New Roman" w:eastAsia="Times New Roman" w:hAnsi="Times New Roman" w:cs="Times New Roman"/>
          <w:sz w:val="24"/>
          <w:szCs w:val="24"/>
        </w:rPr>
        <w:t xml:space="preserve">occur </w:t>
      </w:r>
      <w:r w:rsidRPr="00B27E6A">
        <w:rPr>
          <w:rFonts w:ascii="Times New Roman" w:eastAsia="Times New Roman" w:hAnsi="Times New Roman" w:cs="Times New Roman"/>
          <w:sz w:val="24"/>
          <w:szCs w:val="24"/>
        </w:rPr>
        <w:t>where some criminals receive a lighter sentence in terms of personal accountability. Lawyers who get involved in such a bias are usually described as being double standard</w:t>
      </w:r>
      <w:r w:rsidRPr="00B27E6A">
        <w:rPr>
          <w:rFonts w:ascii="Times New Roman" w:eastAsia="Times New Roman" w:hAnsi="Times New Roman" w:cs="Times New Roman"/>
          <w:sz w:val="24"/>
          <w:szCs w:val="24"/>
        </w:rPr>
        <w:t>ists. An example is a situation where Judges in a</w:t>
      </w:r>
      <w:r w:rsidRPr="00B27E6A">
        <w:rPr>
          <w:rFonts w:ascii="Times New Roman" w:eastAsia="Times New Roman" w:hAnsi="Times New Roman" w:cs="Times New Roman"/>
          <w:sz w:val="24"/>
          <w:szCs w:val="24"/>
        </w:rPr>
        <w:t xml:space="preserve"> particular case may have varied perceptions of the seriousness of the crime. </w:t>
      </w:r>
      <w:r w:rsidRPr="00B27E6A">
        <w:rPr>
          <w:rFonts w:ascii="Times New Roman" w:eastAsia="Times New Roman" w:hAnsi="Times New Roman" w:cs="Times New Roman"/>
          <w:sz w:val="24"/>
          <w:szCs w:val="24"/>
        </w:rPr>
        <w:t xml:space="preserve">Therefore, similar offenders end up receiving different sentences. For instance, while some Judges might send robbers without prior criminal records into prison, others might </w:t>
      </w:r>
      <w:r w:rsidRPr="00B27E6A">
        <w:rPr>
          <w:rFonts w:ascii="Times New Roman" w:eastAsia="Times New Roman" w:hAnsi="Times New Roman" w:cs="Times New Roman"/>
          <w:sz w:val="24"/>
          <w:szCs w:val="24"/>
        </w:rPr>
        <w:t>send the same offenders into probation resulting to a jurisdictional disparity in sentencing. Therefore, the outcome of the case depends on the judge resulting into the disparity</w:t>
      </w:r>
      <w:r w:rsidRPr="00B27E6A">
        <w:rPr>
          <w:rFonts w:ascii="Times New Roman" w:eastAsia="Times New Roman" w:hAnsi="Times New Roman" w:cs="Times New Roman"/>
          <w:sz w:val="24"/>
          <w:szCs w:val="24"/>
        </w:rPr>
        <w:t xml:space="preserve"> (Scott, 2010)</w:t>
      </w:r>
      <w:r w:rsidRPr="00B27E6A">
        <w:rPr>
          <w:rFonts w:ascii="Times New Roman" w:eastAsia="Times New Roman" w:hAnsi="Times New Roman" w:cs="Times New Roman"/>
          <w:sz w:val="24"/>
          <w:szCs w:val="24"/>
        </w:rPr>
        <w:t>.</w:t>
      </w:r>
    </w:p>
    <w:p w14:paraId="6C0E8F0A" w14:textId="12258C82" w:rsidR="00B27E6A" w:rsidRPr="002C2DED" w:rsidRDefault="00554B47" w:rsidP="00AD0369">
      <w:pPr>
        <w:spacing w:line="480" w:lineRule="auto"/>
        <w:jc w:val="center"/>
        <w:rPr>
          <w:rFonts w:ascii="Times New Roman" w:eastAsia="Times New Roman" w:hAnsi="Times New Roman" w:cs="Times New Roman"/>
          <w:b/>
          <w:sz w:val="24"/>
          <w:szCs w:val="24"/>
        </w:rPr>
      </w:pPr>
      <w:r w:rsidRPr="002C2DED">
        <w:rPr>
          <w:rFonts w:ascii="Times New Roman" w:eastAsia="Times New Roman" w:hAnsi="Times New Roman" w:cs="Times New Roman"/>
          <w:b/>
          <w:sz w:val="24"/>
          <w:szCs w:val="24"/>
        </w:rPr>
        <w:t xml:space="preserve">Extra-legal </w:t>
      </w:r>
      <w:r w:rsidRPr="002C2DED">
        <w:rPr>
          <w:rFonts w:ascii="Times New Roman" w:eastAsia="Times New Roman" w:hAnsi="Times New Roman" w:cs="Times New Roman"/>
          <w:b/>
          <w:sz w:val="24"/>
          <w:szCs w:val="24"/>
        </w:rPr>
        <w:t>F</w:t>
      </w:r>
      <w:r w:rsidRPr="002C2DED">
        <w:rPr>
          <w:rFonts w:ascii="Times New Roman" w:eastAsia="Times New Roman" w:hAnsi="Times New Roman" w:cs="Times New Roman"/>
          <w:b/>
          <w:sz w:val="24"/>
          <w:szCs w:val="24"/>
        </w:rPr>
        <w:t>actors</w:t>
      </w:r>
      <w:r w:rsidRPr="002C2DED">
        <w:rPr>
          <w:rFonts w:ascii="Times New Roman" w:eastAsia="Times New Roman" w:hAnsi="Times New Roman" w:cs="Times New Roman"/>
          <w:b/>
          <w:sz w:val="24"/>
          <w:szCs w:val="24"/>
        </w:rPr>
        <w:t xml:space="preserve"> and how they result to </w:t>
      </w:r>
      <w:r w:rsidRPr="002C2DED">
        <w:rPr>
          <w:rFonts w:ascii="Times New Roman" w:eastAsia="Times New Roman" w:hAnsi="Times New Roman" w:cs="Times New Roman"/>
          <w:b/>
          <w:sz w:val="24"/>
          <w:szCs w:val="24"/>
        </w:rPr>
        <w:t>Sent</w:t>
      </w:r>
      <w:r w:rsidRPr="002C2DED">
        <w:rPr>
          <w:rFonts w:ascii="Times New Roman" w:eastAsia="Times New Roman" w:hAnsi="Times New Roman" w:cs="Times New Roman"/>
          <w:b/>
          <w:sz w:val="24"/>
          <w:szCs w:val="24"/>
        </w:rPr>
        <w:t>encing Disparity</w:t>
      </w:r>
    </w:p>
    <w:p w14:paraId="37145C78" w14:textId="77777777" w:rsidR="009378E4" w:rsidRPr="002C2DED" w:rsidRDefault="00554B47" w:rsidP="00AD0369">
      <w:pPr>
        <w:spacing w:line="480" w:lineRule="auto"/>
        <w:rPr>
          <w:rFonts w:ascii="Times New Roman" w:eastAsia="Times New Roman" w:hAnsi="Times New Roman" w:cs="Times New Roman"/>
          <w:b/>
          <w:sz w:val="24"/>
          <w:szCs w:val="24"/>
        </w:rPr>
      </w:pPr>
      <w:r w:rsidRPr="002C2DED">
        <w:rPr>
          <w:rFonts w:ascii="Times New Roman" w:eastAsia="Times New Roman" w:hAnsi="Times New Roman" w:cs="Times New Roman"/>
          <w:b/>
          <w:sz w:val="24"/>
          <w:szCs w:val="24"/>
        </w:rPr>
        <w:t>Gender</w:t>
      </w:r>
    </w:p>
    <w:p w14:paraId="47EC6751" w14:textId="77777777" w:rsidR="009378E4" w:rsidRDefault="00554B47" w:rsidP="00AD0369">
      <w:pPr>
        <w:spacing w:line="480" w:lineRule="auto"/>
        <w:ind w:firstLine="720"/>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Men ha</w:t>
      </w:r>
      <w:r>
        <w:rPr>
          <w:rFonts w:ascii="Times New Roman" w:eastAsia="Times New Roman" w:hAnsi="Times New Roman" w:cs="Times New Roman"/>
          <w:sz w:val="24"/>
          <w:szCs w:val="24"/>
        </w:rPr>
        <w:t>ve</w:t>
      </w:r>
      <w:r w:rsidRPr="00B27E6A">
        <w:rPr>
          <w:rFonts w:ascii="Times New Roman" w:eastAsia="Times New Roman" w:hAnsi="Times New Roman" w:cs="Times New Roman"/>
          <w:sz w:val="24"/>
          <w:szCs w:val="24"/>
        </w:rPr>
        <w:t xml:space="preserve"> been found to face a harsh treatment when it comes to crime in comparison to their women counterparts. </w:t>
      </w:r>
      <w:r w:rsidRPr="00B27E6A">
        <w:rPr>
          <w:rFonts w:ascii="Times New Roman" w:eastAsia="Times New Roman" w:hAnsi="Times New Roman" w:cs="Times New Roman"/>
          <w:sz w:val="24"/>
          <w:szCs w:val="24"/>
        </w:rPr>
        <w:t>In fact, research studies have revealed that men receive a 63 percent higher sentence compared to women (Starr, 2014). Furthermore, females arrested for a crime stand a high chance than men of avoiding charges and convictions as a whole. The studies reveal</w:t>
      </w:r>
      <w:r w:rsidRPr="00B27E6A">
        <w:rPr>
          <w:rFonts w:ascii="Times New Roman" w:eastAsia="Times New Roman" w:hAnsi="Times New Roman" w:cs="Times New Roman"/>
          <w:sz w:val="24"/>
          <w:szCs w:val="24"/>
        </w:rPr>
        <w:t xml:space="preserve"> that </w:t>
      </w:r>
      <w:r w:rsidRPr="00B27E6A">
        <w:rPr>
          <w:rFonts w:ascii="Times New Roman" w:eastAsia="Times New Roman" w:hAnsi="Times New Roman" w:cs="Times New Roman"/>
          <w:sz w:val="24"/>
          <w:szCs w:val="24"/>
        </w:rPr>
        <w:t>this might be due to a high probability of lenience exercised by Judges while dealing with crimes which involve women compared to men. This arises due to the practical reasons that women are perceived to be weak compared to men. Furthermore, even while kep</w:t>
      </w:r>
      <w:r w:rsidRPr="00B27E6A">
        <w:rPr>
          <w:rFonts w:ascii="Times New Roman" w:eastAsia="Times New Roman" w:hAnsi="Times New Roman" w:cs="Times New Roman"/>
          <w:sz w:val="24"/>
          <w:szCs w:val="24"/>
        </w:rPr>
        <w:t xml:space="preserve">t in prison, treatment for women and men varies. </w:t>
      </w:r>
      <w:r w:rsidRPr="00B27E6A">
        <w:rPr>
          <w:rFonts w:ascii="Times New Roman" w:eastAsia="Times New Roman" w:hAnsi="Times New Roman" w:cs="Times New Roman"/>
          <w:sz w:val="24"/>
          <w:szCs w:val="24"/>
        </w:rPr>
        <w:t xml:space="preserve">The environment for both also has a significant variation. </w:t>
      </w:r>
      <w:r w:rsidRPr="00B27E6A">
        <w:rPr>
          <w:rFonts w:ascii="Times New Roman" w:eastAsia="Times New Roman" w:hAnsi="Times New Roman" w:cs="Times New Roman"/>
          <w:sz w:val="24"/>
          <w:szCs w:val="24"/>
        </w:rPr>
        <w:lastRenderedPageBreak/>
        <w:t>Therefore, even though gender equity has been achieved significantly, gender stereotypes have benefited women when it comes to such circumstan</w:t>
      </w:r>
      <w:r w:rsidRPr="00B27E6A">
        <w:rPr>
          <w:rFonts w:ascii="Times New Roman" w:eastAsia="Times New Roman" w:hAnsi="Times New Roman" w:cs="Times New Roman"/>
          <w:sz w:val="24"/>
          <w:szCs w:val="24"/>
        </w:rPr>
        <w:t>ces</w:t>
      </w:r>
      <w:r w:rsidRPr="00B27E6A">
        <w:rPr>
          <w:rFonts w:ascii="Times New Roman" w:eastAsia="Times New Roman" w:hAnsi="Times New Roman" w:cs="Times New Roman"/>
          <w:sz w:val="24"/>
          <w:szCs w:val="24"/>
        </w:rPr>
        <w:t xml:space="preserve"> (Starr, 2014)</w:t>
      </w:r>
      <w:r w:rsidRPr="00B27E6A">
        <w:rPr>
          <w:rFonts w:ascii="Times New Roman" w:eastAsia="Times New Roman" w:hAnsi="Times New Roman" w:cs="Times New Roman"/>
          <w:sz w:val="24"/>
          <w:szCs w:val="24"/>
        </w:rPr>
        <w:t>.</w:t>
      </w:r>
    </w:p>
    <w:p w14:paraId="1F31E535" w14:textId="77777777" w:rsidR="009378E4" w:rsidRPr="002C2DED" w:rsidRDefault="00554B47" w:rsidP="00AD0369">
      <w:pPr>
        <w:spacing w:line="480" w:lineRule="auto"/>
        <w:rPr>
          <w:rFonts w:ascii="Times New Roman" w:eastAsia="Times New Roman" w:hAnsi="Times New Roman" w:cs="Times New Roman"/>
          <w:b/>
          <w:sz w:val="24"/>
          <w:szCs w:val="24"/>
        </w:rPr>
      </w:pPr>
      <w:r w:rsidRPr="002C2DED">
        <w:rPr>
          <w:rFonts w:ascii="Times New Roman" w:eastAsia="Times New Roman" w:hAnsi="Times New Roman" w:cs="Times New Roman"/>
          <w:b/>
          <w:sz w:val="24"/>
          <w:szCs w:val="24"/>
        </w:rPr>
        <w:t>Age</w:t>
      </w:r>
    </w:p>
    <w:p w14:paraId="56441CF0" w14:textId="595B8354" w:rsidR="009378E4" w:rsidRDefault="00554B47" w:rsidP="00AD0369">
      <w:pPr>
        <w:spacing w:line="480" w:lineRule="auto"/>
        <w:ind w:firstLine="720"/>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 xml:space="preserve">The age of the offender has a potential to influence the prosecution decision. Young children are likely to be excused when it comes to certain crimes on the basis that they might have done it out of ignorance. Furthermore, some laws do not allow </w:t>
      </w:r>
      <w:r w:rsidRPr="00B27E6A">
        <w:rPr>
          <w:rFonts w:ascii="Times New Roman" w:eastAsia="Times New Roman" w:hAnsi="Times New Roman" w:cs="Times New Roman"/>
          <w:sz w:val="24"/>
          <w:szCs w:val="24"/>
        </w:rPr>
        <w:t>prosecuti</w:t>
      </w:r>
      <w:r w:rsidRPr="00B27E6A">
        <w:rPr>
          <w:rFonts w:ascii="Times New Roman" w:eastAsia="Times New Roman" w:hAnsi="Times New Roman" w:cs="Times New Roman"/>
          <w:sz w:val="24"/>
          <w:szCs w:val="24"/>
        </w:rPr>
        <w:t>on</w:t>
      </w:r>
      <w:r w:rsidRPr="00B27E6A">
        <w:rPr>
          <w:rFonts w:ascii="Times New Roman" w:eastAsia="Times New Roman" w:hAnsi="Times New Roman" w:cs="Times New Roman"/>
          <w:sz w:val="24"/>
          <w:szCs w:val="24"/>
        </w:rPr>
        <w:t xml:space="preserve"> of children till a certain age which fo</w:t>
      </w:r>
      <w:r w:rsidRPr="00B27E6A">
        <w:rPr>
          <w:rFonts w:ascii="Times New Roman" w:eastAsia="Times New Roman" w:hAnsi="Times New Roman" w:cs="Times New Roman"/>
          <w:sz w:val="24"/>
          <w:szCs w:val="24"/>
        </w:rPr>
        <w:t>rms a transition into adulthood</w:t>
      </w:r>
      <w:r w:rsidRPr="00B27E6A">
        <w:rPr>
          <w:rFonts w:ascii="Times New Roman" w:eastAsia="Times New Roman" w:hAnsi="Times New Roman" w:cs="Times New Roman"/>
          <w:sz w:val="24"/>
          <w:szCs w:val="24"/>
        </w:rPr>
        <w:t xml:space="preserve">. Moreover, Federal courts have special treatment for children and the classification </w:t>
      </w:r>
      <w:r w:rsidRPr="00B27E6A">
        <w:rPr>
          <w:rFonts w:ascii="Times New Roman" w:eastAsia="Times New Roman" w:hAnsi="Times New Roman" w:cs="Times New Roman"/>
          <w:sz w:val="24"/>
          <w:szCs w:val="24"/>
        </w:rPr>
        <w:t>largely influences the court decision</w:t>
      </w:r>
      <w:r w:rsidRPr="00B27E6A">
        <w:rPr>
          <w:rFonts w:ascii="Times New Roman" w:eastAsia="Times New Roman" w:hAnsi="Times New Roman" w:cs="Times New Roman"/>
          <w:sz w:val="24"/>
          <w:szCs w:val="24"/>
        </w:rPr>
        <w:t xml:space="preserve"> (Doerner, &amp; Demuth, 2010)</w:t>
      </w:r>
      <w:r w:rsidRPr="00B27E6A">
        <w:rPr>
          <w:rFonts w:ascii="Times New Roman" w:eastAsia="Times New Roman" w:hAnsi="Times New Roman" w:cs="Times New Roman"/>
          <w:sz w:val="24"/>
          <w:szCs w:val="24"/>
        </w:rPr>
        <w:t>. In fact, there are special</w:t>
      </w:r>
      <w:r w:rsidRPr="00B27E6A">
        <w:rPr>
          <w:rFonts w:ascii="Times New Roman" w:eastAsia="Times New Roman" w:hAnsi="Times New Roman" w:cs="Times New Roman"/>
          <w:sz w:val="24"/>
          <w:szCs w:val="24"/>
        </w:rPr>
        <w:t xml:space="preserve"> courts and prisons which deal with cases involving people with a certain age limit. </w:t>
      </w:r>
      <w:r w:rsidRPr="00B27E6A">
        <w:rPr>
          <w:rFonts w:ascii="Times New Roman" w:eastAsia="Times New Roman" w:hAnsi="Times New Roman" w:cs="Times New Roman"/>
          <w:sz w:val="24"/>
          <w:szCs w:val="24"/>
        </w:rPr>
        <w:t xml:space="preserve">However, there are instances where older people receive lenient treatments than young ones. For instance, drug offenses sentenced in Pennsylvania in 1991-1994.  Offenders </w:t>
      </w:r>
      <w:r w:rsidRPr="00B27E6A">
        <w:rPr>
          <w:rFonts w:ascii="Times New Roman" w:eastAsia="Times New Roman" w:hAnsi="Times New Roman" w:cs="Times New Roman"/>
          <w:sz w:val="24"/>
          <w:szCs w:val="24"/>
        </w:rPr>
        <w:t xml:space="preserve">60 years and above averaged about 11 months less than those within </w:t>
      </w:r>
      <w:r w:rsidRPr="00B27E6A">
        <w:rPr>
          <w:rFonts w:ascii="Times New Roman" w:eastAsia="Times New Roman" w:hAnsi="Times New Roman" w:cs="Times New Roman"/>
          <w:sz w:val="24"/>
          <w:szCs w:val="24"/>
        </w:rPr>
        <w:t>20-29 years of age</w:t>
      </w:r>
      <w:r w:rsidRPr="00B27E6A">
        <w:rPr>
          <w:rFonts w:ascii="Times New Roman" w:eastAsia="Times New Roman" w:hAnsi="Times New Roman" w:cs="Times New Roman"/>
          <w:sz w:val="24"/>
          <w:szCs w:val="24"/>
        </w:rPr>
        <w:t>. The perception is that older adults have a low probability to pose a significant danger to the society since they have few years to live</w:t>
      </w:r>
      <w:r w:rsidRPr="00B27E6A">
        <w:rPr>
          <w:rFonts w:ascii="Times New Roman" w:eastAsia="Times New Roman" w:hAnsi="Times New Roman" w:cs="Times New Roman"/>
          <w:sz w:val="24"/>
          <w:szCs w:val="24"/>
        </w:rPr>
        <w:t xml:space="preserve"> (Doerner, &amp; Demuth, 201</w:t>
      </w:r>
      <w:r w:rsidRPr="00B27E6A">
        <w:rPr>
          <w:rFonts w:ascii="Times New Roman" w:eastAsia="Times New Roman" w:hAnsi="Times New Roman" w:cs="Times New Roman"/>
          <w:sz w:val="24"/>
          <w:szCs w:val="24"/>
        </w:rPr>
        <w:t>0)</w:t>
      </w:r>
      <w:r w:rsidRPr="00B27E6A">
        <w:rPr>
          <w:rFonts w:ascii="Times New Roman" w:eastAsia="Times New Roman" w:hAnsi="Times New Roman" w:cs="Times New Roman"/>
          <w:sz w:val="24"/>
          <w:szCs w:val="24"/>
        </w:rPr>
        <w:t xml:space="preserve">. </w:t>
      </w:r>
      <w:r w:rsidRPr="00B27E6A">
        <w:rPr>
          <w:rFonts w:ascii="Times New Roman" w:eastAsia="Times New Roman" w:hAnsi="Times New Roman" w:cs="Times New Roman"/>
          <w:sz w:val="24"/>
          <w:szCs w:val="24"/>
        </w:rPr>
        <w:t>Therefore, it can be can be concluded that age is a factor which influences sentencing disparity.</w:t>
      </w:r>
    </w:p>
    <w:p w14:paraId="68C2BB22" w14:textId="77777777" w:rsidR="009378E4" w:rsidRPr="002C2DED" w:rsidRDefault="00554B47" w:rsidP="00AD0369">
      <w:pPr>
        <w:spacing w:line="480" w:lineRule="auto"/>
        <w:rPr>
          <w:rFonts w:ascii="Times New Roman" w:eastAsia="Times New Roman" w:hAnsi="Times New Roman" w:cs="Times New Roman"/>
          <w:b/>
          <w:sz w:val="24"/>
          <w:szCs w:val="24"/>
        </w:rPr>
      </w:pPr>
      <w:r w:rsidRPr="002C2DED">
        <w:rPr>
          <w:rFonts w:ascii="Times New Roman" w:eastAsia="Times New Roman" w:hAnsi="Times New Roman" w:cs="Times New Roman"/>
          <w:b/>
          <w:sz w:val="24"/>
          <w:szCs w:val="24"/>
        </w:rPr>
        <w:t>Social class</w:t>
      </w:r>
    </w:p>
    <w:p w14:paraId="7171FC17" w14:textId="414FE50D" w:rsidR="009378E4" w:rsidRDefault="00554B47" w:rsidP="00AD0369">
      <w:pPr>
        <w:spacing w:line="480" w:lineRule="auto"/>
        <w:ind w:firstLine="720"/>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 xml:space="preserve">Social class has a consequence which influences judicial determination in crimes. Even though the government places less interest in </w:t>
      </w:r>
      <w:r w:rsidRPr="00B27E6A">
        <w:rPr>
          <w:rFonts w:ascii="Times New Roman" w:eastAsia="Times New Roman" w:hAnsi="Times New Roman" w:cs="Times New Roman"/>
          <w:sz w:val="24"/>
          <w:szCs w:val="24"/>
        </w:rPr>
        <w:t>the determination</w:t>
      </w:r>
      <w:r w:rsidRPr="00B27E6A">
        <w:rPr>
          <w:rFonts w:ascii="Times New Roman" w:eastAsia="Times New Roman" w:hAnsi="Times New Roman" w:cs="Times New Roman"/>
          <w:sz w:val="24"/>
          <w:szCs w:val="24"/>
        </w:rPr>
        <w:t xml:space="preserve"> of the social class of individuals in prison, research reveals a gap relation between the two. </w:t>
      </w:r>
      <w:r w:rsidRPr="00B27E6A">
        <w:rPr>
          <w:rFonts w:ascii="Times New Roman" w:eastAsia="Times New Roman" w:hAnsi="Times New Roman" w:cs="Times New Roman"/>
          <w:sz w:val="24"/>
          <w:szCs w:val="24"/>
        </w:rPr>
        <w:t>The tru</w:t>
      </w:r>
      <w:r w:rsidRPr="00B27E6A">
        <w:rPr>
          <w:rFonts w:ascii="Times New Roman" w:eastAsia="Times New Roman" w:hAnsi="Times New Roman" w:cs="Times New Roman"/>
          <w:sz w:val="24"/>
          <w:szCs w:val="24"/>
        </w:rPr>
        <w:t xml:space="preserve">th is most of the people serving sentences in prisons are from lower socio-economic backgrounds. </w:t>
      </w:r>
      <w:r w:rsidRPr="00B27E6A">
        <w:rPr>
          <w:rFonts w:ascii="Times New Roman" w:eastAsia="Times New Roman" w:hAnsi="Times New Roman" w:cs="Times New Roman"/>
          <w:sz w:val="24"/>
          <w:szCs w:val="24"/>
        </w:rPr>
        <w:t xml:space="preserve"> </w:t>
      </w:r>
      <w:r w:rsidRPr="00B27E6A">
        <w:rPr>
          <w:rFonts w:ascii="Times New Roman" w:eastAsia="Times New Roman" w:hAnsi="Times New Roman" w:cs="Times New Roman"/>
          <w:sz w:val="24"/>
          <w:szCs w:val="24"/>
        </w:rPr>
        <w:t xml:space="preserve">They tend to be less educated, unemployed and thus earning little income. A survey on incarcerated inmates in 2009 revealed the same pattern with most </w:t>
      </w:r>
      <w:r w:rsidRPr="00B27E6A">
        <w:rPr>
          <w:rFonts w:ascii="Times New Roman" w:eastAsia="Times New Roman" w:hAnsi="Times New Roman" w:cs="Times New Roman"/>
          <w:sz w:val="24"/>
          <w:szCs w:val="24"/>
        </w:rPr>
        <w:t>of them having an income of less than $15,000 per annum</w:t>
      </w:r>
      <w:r w:rsidRPr="00B27E6A">
        <w:rPr>
          <w:rFonts w:ascii="Times New Roman" w:eastAsia="Times New Roman" w:hAnsi="Times New Roman" w:cs="Times New Roman"/>
          <w:sz w:val="24"/>
          <w:szCs w:val="24"/>
        </w:rPr>
        <w:t xml:space="preserve"> (Tonry, </w:t>
      </w:r>
      <w:r w:rsidRPr="00B27E6A">
        <w:rPr>
          <w:rFonts w:ascii="Times New Roman" w:eastAsia="Times New Roman" w:hAnsi="Times New Roman" w:cs="Times New Roman"/>
          <w:sz w:val="24"/>
          <w:szCs w:val="24"/>
        </w:rPr>
        <w:lastRenderedPageBreak/>
        <w:t>2010)</w:t>
      </w:r>
      <w:r w:rsidRPr="00B27E6A">
        <w:rPr>
          <w:rFonts w:ascii="Times New Roman" w:eastAsia="Times New Roman" w:hAnsi="Times New Roman" w:cs="Times New Roman"/>
          <w:sz w:val="24"/>
          <w:szCs w:val="24"/>
        </w:rPr>
        <w:t xml:space="preserve">. Prosecution for street crimes, for instance, are uncommon with the middle class and </w:t>
      </w:r>
      <w:r w:rsidRPr="00B27E6A">
        <w:rPr>
          <w:rFonts w:ascii="Times New Roman" w:eastAsia="Times New Roman" w:hAnsi="Times New Roman" w:cs="Times New Roman"/>
          <w:sz w:val="24"/>
          <w:szCs w:val="24"/>
        </w:rPr>
        <w:t>upper-class</w:t>
      </w:r>
      <w:r w:rsidRPr="00B27E6A">
        <w:rPr>
          <w:rFonts w:ascii="Times New Roman" w:eastAsia="Times New Roman" w:hAnsi="Times New Roman" w:cs="Times New Roman"/>
          <w:sz w:val="24"/>
          <w:szCs w:val="24"/>
        </w:rPr>
        <w:t xml:space="preserve"> citizens. Even though some research studies show that this reason is due to high ch</w:t>
      </w:r>
      <w:r w:rsidRPr="00B27E6A">
        <w:rPr>
          <w:rFonts w:ascii="Times New Roman" w:eastAsia="Times New Roman" w:hAnsi="Times New Roman" w:cs="Times New Roman"/>
          <w:sz w:val="24"/>
          <w:szCs w:val="24"/>
        </w:rPr>
        <w:t>ances of the poor being involved in crimes, there is evidence that the disparity is largely because of the criminal justice system largely targeting those with lower incomes due to the prevalence of corruption even in this century</w:t>
      </w:r>
      <w:r w:rsidRPr="00B27E6A">
        <w:rPr>
          <w:rFonts w:ascii="Times New Roman" w:eastAsia="Times New Roman" w:hAnsi="Times New Roman" w:cs="Times New Roman"/>
          <w:sz w:val="24"/>
          <w:szCs w:val="24"/>
        </w:rPr>
        <w:t xml:space="preserve"> (Tonry, 2010)</w:t>
      </w:r>
      <w:r w:rsidRPr="00B27E6A">
        <w:rPr>
          <w:rFonts w:ascii="Times New Roman" w:eastAsia="Times New Roman" w:hAnsi="Times New Roman" w:cs="Times New Roman"/>
          <w:sz w:val="24"/>
          <w:szCs w:val="24"/>
        </w:rPr>
        <w:t>.</w:t>
      </w:r>
    </w:p>
    <w:p w14:paraId="4B02B607" w14:textId="77777777" w:rsidR="009378E4" w:rsidRPr="002C2DED" w:rsidRDefault="00554B47" w:rsidP="00AD0369">
      <w:pPr>
        <w:spacing w:line="480" w:lineRule="auto"/>
        <w:rPr>
          <w:rFonts w:ascii="Times New Roman" w:eastAsia="Times New Roman" w:hAnsi="Times New Roman" w:cs="Times New Roman"/>
          <w:b/>
          <w:sz w:val="24"/>
          <w:szCs w:val="24"/>
        </w:rPr>
      </w:pPr>
      <w:r w:rsidRPr="002C2DED">
        <w:rPr>
          <w:rFonts w:ascii="Times New Roman" w:eastAsia="Times New Roman" w:hAnsi="Times New Roman" w:cs="Times New Roman"/>
          <w:b/>
          <w:sz w:val="24"/>
          <w:szCs w:val="24"/>
        </w:rPr>
        <w:t>Race</w:t>
      </w:r>
    </w:p>
    <w:p w14:paraId="353F6F81" w14:textId="77777777" w:rsidR="009378E4" w:rsidRDefault="00554B47" w:rsidP="00AD0369">
      <w:pPr>
        <w:spacing w:line="480" w:lineRule="auto"/>
        <w:ind w:firstLine="720"/>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Hash treatment of blacks at the hands of police became the focus of many since the death of Michael Brown died. Thousands of blacks have suffered due to discrimination in the criminal justice system. Social science research studies reveal disparity rangin</w:t>
      </w:r>
      <w:r w:rsidRPr="00B27E6A">
        <w:rPr>
          <w:rFonts w:ascii="Times New Roman" w:eastAsia="Times New Roman" w:hAnsi="Times New Roman" w:cs="Times New Roman"/>
          <w:sz w:val="24"/>
          <w:szCs w:val="24"/>
        </w:rPr>
        <w:t>g from arrest rates, bail amounts, down to probation hearing outcomes. Black Americans are highly searched while driving compared to Whites due to discrimination tendencies. The rate of arrest of blacks due to drug use is twice compared to whites. Furtherm</w:t>
      </w:r>
      <w:r w:rsidRPr="00B27E6A">
        <w:rPr>
          <w:rFonts w:ascii="Times New Roman" w:eastAsia="Times New Roman" w:hAnsi="Times New Roman" w:cs="Times New Roman"/>
          <w:sz w:val="24"/>
          <w:szCs w:val="24"/>
        </w:rPr>
        <w:t xml:space="preserve">ore, while awaiting trials, </w:t>
      </w:r>
      <w:r w:rsidRPr="00B27E6A">
        <w:rPr>
          <w:rFonts w:ascii="Times New Roman" w:eastAsia="Times New Roman" w:hAnsi="Times New Roman" w:cs="Times New Roman"/>
          <w:sz w:val="24"/>
          <w:szCs w:val="24"/>
        </w:rPr>
        <w:t>Blacks are easily kept in jails compared to non-blacks. Such discrimination regarding race has always brought about sentencing disparity even while the law tries to harmonize and ensure zero racial discrimination</w:t>
      </w:r>
      <w:r w:rsidRPr="00B27E6A">
        <w:rPr>
          <w:rFonts w:ascii="Times New Roman" w:eastAsia="Times New Roman" w:hAnsi="Times New Roman" w:cs="Times New Roman"/>
          <w:sz w:val="24"/>
          <w:szCs w:val="24"/>
        </w:rPr>
        <w:t xml:space="preserve"> (Rehavi, &amp; Starr, 2014)</w:t>
      </w:r>
      <w:r w:rsidRPr="00B27E6A">
        <w:rPr>
          <w:rFonts w:ascii="Times New Roman" w:eastAsia="Times New Roman" w:hAnsi="Times New Roman" w:cs="Times New Roman"/>
          <w:sz w:val="24"/>
          <w:szCs w:val="24"/>
        </w:rPr>
        <w:t>.</w:t>
      </w:r>
    </w:p>
    <w:p w14:paraId="5535E5AB" w14:textId="77777777" w:rsidR="009378E4" w:rsidRPr="002C2DED" w:rsidRDefault="00554B47" w:rsidP="00AD0369">
      <w:pPr>
        <w:spacing w:line="480" w:lineRule="auto"/>
        <w:rPr>
          <w:rFonts w:ascii="Times New Roman" w:eastAsia="Times New Roman" w:hAnsi="Times New Roman" w:cs="Times New Roman"/>
          <w:b/>
          <w:sz w:val="24"/>
          <w:szCs w:val="24"/>
        </w:rPr>
      </w:pPr>
      <w:r w:rsidRPr="002C2DED">
        <w:rPr>
          <w:rFonts w:ascii="Times New Roman" w:eastAsia="Times New Roman" w:hAnsi="Times New Roman" w:cs="Times New Roman"/>
          <w:b/>
          <w:sz w:val="24"/>
          <w:szCs w:val="24"/>
        </w:rPr>
        <w:t>Victim impact statements</w:t>
      </w:r>
    </w:p>
    <w:p w14:paraId="32841D15" w14:textId="77777777" w:rsidR="009378E4" w:rsidRDefault="00554B47" w:rsidP="00AD0369">
      <w:pPr>
        <w:spacing w:line="480" w:lineRule="auto"/>
        <w:ind w:firstLine="720"/>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Victim impact evidence has become a major issue in the last two decades. At one point in 1987, it was ruled that it should not be used as a source of information in making decisions. Three years later the same was overruled with a reason that it provides e</w:t>
      </w:r>
      <w:r w:rsidRPr="00B27E6A">
        <w:rPr>
          <w:rFonts w:ascii="Times New Roman" w:eastAsia="Times New Roman" w:hAnsi="Times New Roman" w:cs="Times New Roman"/>
          <w:sz w:val="24"/>
          <w:szCs w:val="24"/>
        </w:rPr>
        <w:t>vidence on the validity of the case. This is through revealing the amount of harm suffered by the victim due to the crime exposure. Admissibility should, however, be on case by case basis. Allowing victims to speak was apart from giving evidence a way to a</w:t>
      </w:r>
      <w:r w:rsidRPr="00B27E6A">
        <w:rPr>
          <w:rFonts w:ascii="Times New Roman" w:eastAsia="Times New Roman" w:hAnsi="Times New Roman" w:cs="Times New Roman"/>
          <w:sz w:val="24"/>
          <w:szCs w:val="24"/>
        </w:rPr>
        <w:t xml:space="preserve">llow there healing process. </w:t>
      </w:r>
      <w:r w:rsidRPr="00B27E6A">
        <w:rPr>
          <w:rFonts w:ascii="Times New Roman" w:eastAsia="Times New Roman" w:hAnsi="Times New Roman" w:cs="Times New Roman"/>
          <w:sz w:val="24"/>
          <w:szCs w:val="24"/>
        </w:rPr>
        <w:t xml:space="preserve">This is true even though </w:t>
      </w:r>
      <w:r w:rsidRPr="00B27E6A">
        <w:rPr>
          <w:rFonts w:ascii="Times New Roman" w:eastAsia="Times New Roman" w:hAnsi="Times New Roman" w:cs="Times New Roman"/>
          <w:sz w:val="24"/>
          <w:szCs w:val="24"/>
        </w:rPr>
        <w:lastRenderedPageBreak/>
        <w:t>some research studies reveal that the same has a chance of making the decision to be based on attributes of the victim instead of the crime itself</w:t>
      </w:r>
      <w:r w:rsidRPr="00B27E6A">
        <w:rPr>
          <w:rFonts w:ascii="Times New Roman" w:eastAsia="Times New Roman" w:hAnsi="Times New Roman" w:cs="Times New Roman"/>
          <w:sz w:val="24"/>
          <w:szCs w:val="24"/>
        </w:rPr>
        <w:t xml:space="preserve"> (Propen, &amp; Lay Schuster, 2010)</w:t>
      </w:r>
      <w:r w:rsidRPr="00B27E6A">
        <w:rPr>
          <w:rFonts w:ascii="Times New Roman" w:eastAsia="Times New Roman" w:hAnsi="Times New Roman" w:cs="Times New Roman"/>
          <w:sz w:val="24"/>
          <w:szCs w:val="24"/>
        </w:rPr>
        <w:t>.</w:t>
      </w:r>
    </w:p>
    <w:p w14:paraId="4D4B7290" w14:textId="77777777" w:rsidR="009378E4" w:rsidRPr="002C2DED" w:rsidRDefault="00554B47" w:rsidP="0034449F">
      <w:pPr>
        <w:spacing w:line="480" w:lineRule="auto"/>
        <w:jc w:val="center"/>
        <w:rPr>
          <w:rFonts w:ascii="Times New Roman" w:eastAsia="Times New Roman" w:hAnsi="Times New Roman" w:cs="Times New Roman"/>
          <w:b/>
          <w:sz w:val="24"/>
          <w:szCs w:val="24"/>
        </w:rPr>
      </w:pPr>
      <w:r w:rsidRPr="002C2DED">
        <w:rPr>
          <w:rFonts w:ascii="Times New Roman" w:eastAsia="Times New Roman" w:hAnsi="Times New Roman" w:cs="Times New Roman"/>
          <w:b/>
          <w:sz w:val="24"/>
          <w:szCs w:val="24"/>
        </w:rPr>
        <w:t>Conclusio</w:t>
      </w:r>
      <w:r w:rsidRPr="002C2DED">
        <w:rPr>
          <w:rFonts w:ascii="Times New Roman" w:eastAsia="Times New Roman" w:hAnsi="Times New Roman" w:cs="Times New Roman"/>
          <w:b/>
          <w:sz w:val="24"/>
          <w:szCs w:val="24"/>
        </w:rPr>
        <w:t>n</w:t>
      </w:r>
    </w:p>
    <w:p w14:paraId="7984B093" w14:textId="6421C6D9" w:rsidR="009378E4" w:rsidRDefault="00554B47" w:rsidP="00AD0369">
      <w:pPr>
        <w:spacing w:line="480" w:lineRule="auto"/>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In conclusion, sentencing disparity remains an issue that</w:t>
      </w:r>
      <w:bookmarkStart w:id="0" w:name="_GoBack"/>
      <w:bookmarkEnd w:id="0"/>
      <w:r w:rsidRPr="00B27E6A">
        <w:rPr>
          <w:rFonts w:ascii="Times New Roman" w:eastAsia="Times New Roman" w:hAnsi="Times New Roman" w:cs="Times New Roman"/>
          <w:sz w:val="24"/>
          <w:szCs w:val="24"/>
        </w:rPr>
        <w:t xml:space="preserve"> is to be addressed if criminal justice is to be fair to all. However, in addressing it, legal factors such as race, age, gender and social class must be fully considered since they form the root c</w:t>
      </w:r>
      <w:r w:rsidRPr="00B27E6A">
        <w:rPr>
          <w:rFonts w:ascii="Times New Roman" w:eastAsia="Times New Roman" w:hAnsi="Times New Roman" w:cs="Times New Roman"/>
          <w:sz w:val="24"/>
          <w:szCs w:val="24"/>
        </w:rPr>
        <w:t xml:space="preserve">ause of this disparities. There </w:t>
      </w:r>
      <w:r>
        <w:rPr>
          <w:rFonts w:ascii="Times New Roman" w:eastAsia="Times New Roman" w:hAnsi="Times New Roman" w:cs="Times New Roman"/>
          <w:sz w:val="24"/>
          <w:szCs w:val="24"/>
        </w:rPr>
        <w:t>is still</w:t>
      </w:r>
      <w:r w:rsidRPr="00B27E6A">
        <w:rPr>
          <w:rFonts w:ascii="Times New Roman" w:eastAsia="Times New Roman" w:hAnsi="Times New Roman" w:cs="Times New Roman"/>
          <w:sz w:val="24"/>
          <w:szCs w:val="24"/>
        </w:rPr>
        <w:t xml:space="preserve"> hope for a streamlined system if these factors are well put into consideration in an effort to address. Sentencing disparity</w:t>
      </w:r>
      <w:r>
        <w:rPr>
          <w:rFonts w:ascii="Times New Roman" w:eastAsia="Times New Roman" w:hAnsi="Times New Roman" w:cs="Times New Roman"/>
          <w:sz w:val="24"/>
          <w:szCs w:val="24"/>
        </w:rPr>
        <w:t>.</w:t>
      </w:r>
    </w:p>
    <w:p w14:paraId="6083D8C2" w14:textId="77777777" w:rsidR="00B54329" w:rsidRDefault="00554B47" w:rsidP="00AD036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AD3CBD5" w14:textId="5D3F4D43" w:rsidR="009378E4" w:rsidRDefault="00554B47" w:rsidP="00AD0369">
      <w:pPr>
        <w:spacing w:line="480" w:lineRule="auto"/>
        <w:jc w:val="center"/>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lastRenderedPageBreak/>
        <w:t>References</w:t>
      </w:r>
    </w:p>
    <w:p w14:paraId="768C9FA8" w14:textId="77777777" w:rsidR="002C2DED" w:rsidRDefault="00554B47" w:rsidP="00AD0369">
      <w:pPr>
        <w:spacing w:line="480" w:lineRule="auto"/>
        <w:ind w:left="720" w:hanging="720"/>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 xml:space="preserve">Doerner, J. K., &amp; Demuth, S. (2010). The independent and joint effects of </w:t>
      </w:r>
      <w:r w:rsidRPr="00B27E6A">
        <w:rPr>
          <w:rFonts w:ascii="Times New Roman" w:eastAsia="Times New Roman" w:hAnsi="Times New Roman" w:cs="Times New Roman"/>
          <w:sz w:val="24"/>
          <w:szCs w:val="24"/>
        </w:rPr>
        <w:t>race/ethnicity, gender,</w:t>
      </w:r>
      <w:r>
        <w:rPr>
          <w:rFonts w:ascii="Times New Roman" w:eastAsia="Times New Roman" w:hAnsi="Times New Roman" w:cs="Times New Roman"/>
          <w:sz w:val="24"/>
          <w:szCs w:val="24"/>
        </w:rPr>
        <w:t xml:space="preserve"> </w:t>
      </w:r>
      <w:r w:rsidRPr="00B27E6A">
        <w:rPr>
          <w:rFonts w:ascii="Times New Roman" w:eastAsia="Times New Roman" w:hAnsi="Times New Roman" w:cs="Times New Roman"/>
          <w:sz w:val="24"/>
          <w:szCs w:val="24"/>
        </w:rPr>
        <w:t xml:space="preserve">and age on sentencing outcomes in US federal courts. </w:t>
      </w:r>
      <w:r w:rsidRPr="00B27E6A">
        <w:rPr>
          <w:rFonts w:ascii="Times New Roman" w:eastAsia="Times New Roman" w:hAnsi="Times New Roman" w:cs="Times New Roman"/>
          <w:i/>
          <w:iCs/>
          <w:sz w:val="24"/>
          <w:szCs w:val="24"/>
        </w:rPr>
        <w:t>Justice Quarterly</w:t>
      </w:r>
      <w:r w:rsidRPr="00B27E6A">
        <w:rPr>
          <w:rFonts w:ascii="Times New Roman" w:eastAsia="Times New Roman" w:hAnsi="Times New Roman" w:cs="Times New Roman"/>
          <w:sz w:val="24"/>
          <w:szCs w:val="24"/>
        </w:rPr>
        <w:t xml:space="preserve">, </w:t>
      </w:r>
      <w:r w:rsidRPr="00B27E6A">
        <w:rPr>
          <w:rFonts w:ascii="Times New Roman" w:eastAsia="Times New Roman" w:hAnsi="Times New Roman" w:cs="Times New Roman"/>
          <w:i/>
          <w:iCs/>
          <w:sz w:val="24"/>
          <w:szCs w:val="24"/>
        </w:rPr>
        <w:t>27</w:t>
      </w:r>
      <w:r w:rsidRPr="00B27E6A">
        <w:rPr>
          <w:rFonts w:ascii="Times New Roman" w:eastAsia="Times New Roman" w:hAnsi="Times New Roman" w:cs="Times New Roman"/>
          <w:sz w:val="24"/>
          <w:szCs w:val="24"/>
        </w:rPr>
        <w:t>(1), 1-27.</w:t>
      </w:r>
    </w:p>
    <w:p w14:paraId="0BD5F508" w14:textId="77777777" w:rsidR="002C2DED" w:rsidRDefault="00554B47" w:rsidP="00AD0369">
      <w:pPr>
        <w:spacing w:line="480" w:lineRule="auto"/>
        <w:ind w:left="720" w:hanging="720"/>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Propen, A. D., &amp; Lay Schuster, M. (2010). Understanding genre through the lens of advocacy:</w:t>
      </w:r>
      <w:r>
        <w:rPr>
          <w:rFonts w:ascii="Times New Roman" w:eastAsia="Times New Roman" w:hAnsi="Times New Roman" w:cs="Times New Roman"/>
          <w:sz w:val="24"/>
          <w:szCs w:val="24"/>
        </w:rPr>
        <w:t xml:space="preserve"> </w:t>
      </w:r>
      <w:r w:rsidRPr="00B27E6A">
        <w:rPr>
          <w:rFonts w:ascii="Times New Roman" w:eastAsia="Times New Roman" w:hAnsi="Times New Roman" w:cs="Times New Roman"/>
          <w:sz w:val="24"/>
          <w:szCs w:val="24"/>
        </w:rPr>
        <w:t xml:space="preserve">The rhetorical work of the victim impact statement. </w:t>
      </w:r>
      <w:r w:rsidRPr="00B27E6A">
        <w:rPr>
          <w:rFonts w:ascii="Times New Roman" w:eastAsia="Times New Roman" w:hAnsi="Times New Roman" w:cs="Times New Roman"/>
          <w:i/>
          <w:iCs/>
          <w:sz w:val="24"/>
          <w:szCs w:val="24"/>
        </w:rPr>
        <w:t>Wri</w:t>
      </w:r>
      <w:r w:rsidRPr="00B27E6A">
        <w:rPr>
          <w:rFonts w:ascii="Times New Roman" w:eastAsia="Times New Roman" w:hAnsi="Times New Roman" w:cs="Times New Roman"/>
          <w:i/>
          <w:iCs/>
          <w:sz w:val="24"/>
          <w:szCs w:val="24"/>
        </w:rPr>
        <w:t>tten Communication</w:t>
      </w:r>
      <w:r w:rsidRPr="00B27E6A">
        <w:rPr>
          <w:rFonts w:ascii="Times New Roman" w:eastAsia="Times New Roman" w:hAnsi="Times New Roman" w:cs="Times New Roman"/>
          <w:sz w:val="24"/>
          <w:szCs w:val="24"/>
        </w:rPr>
        <w:t xml:space="preserve">, </w:t>
      </w:r>
      <w:r w:rsidRPr="00B27E6A">
        <w:rPr>
          <w:rFonts w:ascii="Times New Roman" w:eastAsia="Times New Roman" w:hAnsi="Times New Roman" w:cs="Times New Roman"/>
          <w:i/>
          <w:iCs/>
          <w:sz w:val="24"/>
          <w:szCs w:val="24"/>
        </w:rPr>
        <w:t>27</w:t>
      </w:r>
      <w:r w:rsidRPr="00B27E6A">
        <w:rPr>
          <w:rFonts w:ascii="Times New Roman" w:eastAsia="Times New Roman" w:hAnsi="Times New Roman" w:cs="Times New Roman"/>
          <w:sz w:val="24"/>
          <w:szCs w:val="24"/>
        </w:rPr>
        <w:t>(1), 3-35.</w:t>
      </w:r>
    </w:p>
    <w:p w14:paraId="2A25F745" w14:textId="77777777" w:rsidR="002C2DED" w:rsidRDefault="00554B47" w:rsidP="00AD0369">
      <w:pPr>
        <w:spacing w:line="480" w:lineRule="auto"/>
        <w:ind w:left="720" w:hanging="720"/>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 xml:space="preserve">Rehavi, M. M., &amp; Starr, S. B. (2014). Racial disparity in federal criminal sentences. </w:t>
      </w:r>
      <w:r w:rsidRPr="00B27E6A">
        <w:rPr>
          <w:rFonts w:ascii="Times New Roman" w:eastAsia="Times New Roman" w:hAnsi="Times New Roman" w:cs="Times New Roman"/>
          <w:i/>
          <w:iCs/>
          <w:sz w:val="24"/>
          <w:szCs w:val="24"/>
        </w:rPr>
        <w:t>Journal of</w:t>
      </w:r>
      <w:r>
        <w:rPr>
          <w:rFonts w:ascii="Times New Roman" w:eastAsia="Times New Roman" w:hAnsi="Times New Roman" w:cs="Times New Roman"/>
          <w:i/>
          <w:iCs/>
          <w:sz w:val="24"/>
          <w:szCs w:val="24"/>
        </w:rPr>
        <w:t xml:space="preserve"> </w:t>
      </w:r>
      <w:r w:rsidRPr="00B27E6A">
        <w:rPr>
          <w:rFonts w:ascii="Times New Roman" w:eastAsia="Times New Roman" w:hAnsi="Times New Roman" w:cs="Times New Roman"/>
          <w:i/>
          <w:iCs/>
          <w:sz w:val="24"/>
          <w:szCs w:val="24"/>
        </w:rPr>
        <w:t>Political Economy</w:t>
      </w:r>
      <w:r w:rsidRPr="00B27E6A">
        <w:rPr>
          <w:rFonts w:ascii="Times New Roman" w:eastAsia="Times New Roman" w:hAnsi="Times New Roman" w:cs="Times New Roman"/>
          <w:sz w:val="24"/>
          <w:szCs w:val="24"/>
        </w:rPr>
        <w:t xml:space="preserve">, </w:t>
      </w:r>
      <w:r w:rsidRPr="00B27E6A">
        <w:rPr>
          <w:rFonts w:ascii="Times New Roman" w:eastAsia="Times New Roman" w:hAnsi="Times New Roman" w:cs="Times New Roman"/>
          <w:i/>
          <w:iCs/>
          <w:sz w:val="24"/>
          <w:szCs w:val="24"/>
        </w:rPr>
        <w:t>122</w:t>
      </w:r>
      <w:r w:rsidRPr="00B27E6A">
        <w:rPr>
          <w:rFonts w:ascii="Times New Roman" w:eastAsia="Times New Roman" w:hAnsi="Times New Roman" w:cs="Times New Roman"/>
          <w:sz w:val="24"/>
          <w:szCs w:val="24"/>
        </w:rPr>
        <w:t>(6), 1320-1354.</w:t>
      </w:r>
    </w:p>
    <w:p w14:paraId="0D8BD0DC" w14:textId="77777777" w:rsidR="002C2DED" w:rsidRDefault="00554B47" w:rsidP="00AD0369">
      <w:pPr>
        <w:spacing w:line="480" w:lineRule="auto"/>
        <w:ind w:left="720" w:hanging="720"/>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 xml:space="preserve">Scott, R. W. (2010). Inter-Judge sentencing disparity after" Booker": A first look. </w:t>
      </w:r>
      <w:r w:rsidRPr="00B27E6A">
        <w:rPr>
          <w:rFonts w:ascii="Times New Roman" w:eastAsia="Times New Roman" w:hAnsi="Times New Roman" w:cs="Times New Roman"/>
          <w:i/>
          <w:iCs/>
          <w:sz w:val="24"/>
          <w:szCs w:val="24"/>
        </w:rPr>
        <w:t>Stan</w:t>
      </w:r>
      <w:r w:rsidRPr="00B27E6A">
        <w:rPr>
          <w:rFonts w:ascii="Times New Roman" w:eastAsia="Times New Roman" w:hAnsi="Times New Roman" w:cs="Times New Roman"/>
          <w:i/>
          <w:iCs/>
          <w:sz w:val="24"/>
          <w:szCs w:val="24"/>
        </w:rPr>
        <w:t>ford Law</w:t>
      </w:r>
      <w:r>
        <w:rPr>
          <w:rFonts w:ascii="Times New Roman" w:eastAsia="Times New Roman" w:hAnsi="Times New Roman" w:cs="Times New Roman"/>
          <w:i/>
          <w:iCs/>
          <w:sz w:val="24"/>
          <w:szCs w:val="24"/>
        </w:rPr>
        <w:t xml:space="preserve"> </w:t>
      </w:r>
      <w:r w:rsidRPr="00B27E6A">
        <w:rPr>
          <w:rFonts w:ascii="Times New Roman" w:eastAsia="Times New Roman" w:hAnsi="Times New Roman" w:cs="Times New Roman"/>
          <w:i/>
          <w:iCs/>
          <w:sz w:val="24"/>
          <w:szCs w:val="24"/>
        </w:rPr>
        <w:t>Review</w:t>
      </w:r>
      <w:r w:rsidRPr="00B27E6A">
        <w:rPr>
          <w:rFonts w:ascii="Times New Roman" w:eastAsia="Times New Roman" w:hAnsi="Times New Roman" w:cs="Times New Roman"/>
          <w:sz w:val="24"/>
          <w:szCs w:val="24"/>
        </w:rPr>
        <w:t>, 1-66.</w:t>
      </w:r>
    </w:p>
    <w:p w14:paraId="47D843A4" w14:textId="77777777" w:rsidR="002C2DED" w:rsidRDefault="00554B47" w:rsidP="00AD0369">
      <w:pPr>
        <w:spacing w:line="480" w:lineRule="auto"/>
        <w:ind w:left="720" w:hanging="720"/>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 xml:space="preserve">Starr, S. B. (2014). Estimating gender disparities in federal criminal cases. </w:t>
      </w:r>
      <w:r w:rsidRPr="00B27E6A">
        <w:rPr>
          <w:rFonts w:ascii="Times New Roman" w:eastAsia="Times New Roman" w:hAnsi="Times New Roman" w:cs="Times New Roman"/>
          <w:i/>
          <w:iCs/>
          <w:sz w:val="24"/>
          <w:szCs w:val="24"/>
        </w:rPr>
        <w:t>American Law and</w:t>
      </w:r>
      <w:r>
        <w:rPr>
          <w:rFonts w:ascii="Times New Roman" w:eastAsia="Times New Roman" w:hAnsi="Times New Roman" w:cs="Times New Roman"/>
          <w:i/>
          <w:iCs/>
          <w:sz w:val="24"/>
          <w:szCs w:val="24"/>
        </w:rPr>
        <w:t xml:space="preserve"> </w:t>
      </w:r>
      <w:r w:rsidRPr="00B27E6A">
        <w:rPr>
          <w:rFonts w:ascii="Times New Roman" w:eastAsia="Times New Roman" w:hAnsi="Times New Roman" w:cs="Times New Roman"/>
          <w:i/>
          <w:iCs/>
          <w:sz w:val="24"/>
          <w:szCs w:val="24"/>
        </w:rPr>
        <w:t>Economics Review</w:t>
      </w:r>
      <w:r w:rsidRPr="00B27E6A">
        <w:rPr>
          <w:rFonts w:ascii="Times New Roman" w:eastAsia="Times New Roman" w:hAnsi="Times New Roman" w:cs="Times New Roman"/>
          <w:sz w:val="24"/>
          <w:szCs w:val="24"/>
        </w:rPr>
        <w:t xml:space="preserve">, </w:t>
      </w:r>
      <w:r w:rsidRPr="00B27E6A">
        <w:rPr>
          <w:rFonts w:ascii="Times New Roman" w:eastAsia="Times New Roman" w:hAnsi="Times New Roman" w:cs="Times New Roman"/>
          <w:i/>
          <w:iCs/>
          <w:sz w:val="24"/>
          <w:szCs w:val="24"/>
        </w:rPr>
        <w:t>17</w:t>
      </w:r>
      <w:r w:rsidRPr="00B27E6A">
        <w:rPr>
          <w:rFonts w:ascii="Times New Roman" w:eastAsia="Times New Roman" w:hAnsi="Times New Roman" w:cs="Times New Roman"/>
          <w:sz w:val="24"/>
          <w:szCs w:val="24"/>
        </w:rPr>
        <w:t>(1), 127-159.</w:t>
      </w:r>
    </w:p>
    <w:p w14:paraId="4EA7BB80" w14:textId="22C63543" w:rsidR="002C2DED" w:rsidRPr="009378E4" w:rsidRDefault="00554B47" w:rsidP="00AD0369">
      <w:pPr>
        <w:spacing w:line="480" w:lineRule="auto"/>
        <w:ind w:left="720" w:hanging="720"/>
        <w:rPr>
          <w:rFonts w:ascii="Times New Roman" w:eastAsia="Times New Roman" w:hAnsi="Times New Roman" w:cs="Times New Roman"/>
          <w:sz w:val="24"/>
          <w:szCs w:val="24"/>
        </w:rPr>
      </w:pPr>
      <w:r w:rsidRPr="00B27E6A">
        <w:rPr>
          <w:rFonts w:ascii="Times New Roman" w:eastAsia="Times New Roman" w:hAnsi="Times New Roman" w:cs="Times New Roman"/>
          <w:sz w:val="24"/>
          <w:szCs w:val="24"/>
        </w:rPr>
        <w:t>Tonry, M. (2010). The social, psychological, and political causes of racial disparities in the</w:t>
      </w:r>
      <w:r>
        <w:rPr>
          <w:rFonts w:ascii="Times New Roman" w:eastAsia="Times New Roman" w:hAnsi="Times New Roman" w:cs="Times New Roman"/>
          <w:sz w:val="24"/>
          <w:szCs w:val="24"/>
        </w:rPr>
        <w:t xml:space="preserve"> </w:t>
      </w:r>
      <w:r w:rsidRPr="00B27E6A">
        <w:rPr>
          <w:rFonts w:ascii="Times New Roman" w:eastAsia="Times New Roman" w:hAnsi="Times New Roman" w:cs="Times New Roman"/>
          <w:sz w:val="24"/>
          <w:szCs w:val="24"/>
        </w:rPr>
        <w:t>American</w:t>
      </w:r>
      <w:r w:rsidRPr="00B27E6A">
        <w:rPr>
          <w:rFonts w:ascii="Times New Roman" w:eastAsia="Times New Roman" w:hAnsi="Times New Roman" w:cs="Times New Roman"/>
          <w:sz w:val="24"/>
          <w:szCs w:val="24"/>
        </w:rPr>
        <w:t xml:space="preserve"> criminal justice system. </w:t>
      </w:r>
      <w:r w:rsidRPr="00B27E6A">
        <w:rPr>
          <w:rFonts w:ascii="Times New Roman" w:eastAsia="Times New Roman" w:hAnsi="Times New Roman" w:cs="Times New Roman"/>
          <w:i/>
          <w:iCs/>
          <w:sz w:val="24"/>
          <w:szCs w:val="24"/>
        </w:rPr>
        <w:t>Crime and justice</w:t>
      </w:r>
      <w:r w:rsidRPr="00B27E6A">
        <w:rPr>
          <w:rFonts w:ascii="Times New Roman" w:eastAsia="Times New Roman" w:hAnsi="Times New Roman" w:cs="Times New Roman"/>
          <w:sz w:val="24"/>
          <w:szCs w:val="24"/>
        </w:rPr>
        <w:t xml:space="preserve">, </w:t>
      </w:r>
      <w:r w:rsidRPr="00B27E6A">
        <w:rPr>
          <w:rFonts w:ascii="Times New Roman" w:eastAsia="Times New Roman" w:hAnsi="Times New Roman" w:cs="Times New Roman"/>
          <w:i/>
          <w:iCs/>
          <w:sz w:val="24"/>
          <w:szCs w:val="24"/>
        </w:rPr>
        <w:t>39</w:t>
      </w:r>
      <w:r w:rsidRPr="00B27E6A">
        <w:rPr>
          <w:rFonts w:ascii="Times New Roman" w:eastAsia="Times New Roman" w:hAnsi="Times New Roman" w:cs="Times New Roman"/>
          <w:sz w:val="24"/>
          <w:szCs w:val="24"/>
        </w:rPr>
        <w:t>(1), 273-312.</w:t>
      </w:r>
    </w:p>
    <w:sectPr w:rsidR="002C2DED" w:rsidRPr="009378E4" w:rsidSect="00E953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2381F" w14:textId="77777777" w:rsidR="00554B47" w:rsidRDefault="00554B47">
      <w:pPr>
        <w:spacing w:after="0" w:line="240" w:lineRule="auto"/>
      </w:pPr>
      <w:r>
        <w:separator/>
      </w:r>
    </w:p>
  </w:endnote>
  <w:endnote w:type="continuationSeparator" w:id="0">
    <w:p w14:paraId="52433CE8" w14:textId="77777777" w:rsidR="00554B47" w:rsidRDefault="00554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99C84" w14:textId="77777777" w:rsidR="00554B47" w:rsidRDefault="00554B47">
      <w:pPr>
        <w:spacing w:after="0" w:line="240" w:lineRule="auto"/>
      </w:pPr>
      <w:r>
        <w:separator/>
      </w:r>
    </w:p>
  </w:footnote>
  <w:footnote w:type="continuationSeparator" w:id="0">
    <w:p w14:paraId="17F74B1D" w14:textId="77777777" w:rsidR="00554B47" w:rsidRDefault="00554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58306424"/>
      <w:docPartObj>
        <w:docPartGallery w:val="Page Numbers (Top of Page)"/>
        <w:docPartUnique/>
      </w:docPartObj>
    </w:sdtPr>
    <w:sdtEndPr>
      <w:rPr>
        <w:noProof/>
      </w:rPr>
    </w:sdtEndPr>
    <w:sdtContent>
      <w:p w14:paraId="54F1BB99" w14:textId="0B04D600" w:rsidR="00710189" w:rsidRPr="00710189" w:rsidRDefault="00554B47">
        <w:pPr>
          <w:pStyle w:val="Header"/>
          <w:jc w:val="right"/>
          <w:rPr>
            <w:rFonts w:ascii="Times New Roman" w:hAnsi="Times New Roman" w:cs="Times New Roman"/>
          </w:rPr>
        </w:pPr>
        <w:r w:rsidRPr="00710189">
          <w:rPr>
            <w:rFonts w:ascii="Times New Roman" w:hAnsi="Times New Roman" w:cs="Times New Roman"/>
          </w:rPr>
          <w:t xml:space="preserve">SENTENCING DISPARITY </w:t>
        </w:r>
        <w:r>
          <w:rPr>
            <w:rFonts w:ascii="Times New Roman" w:hAnsi="Times New Roman" w:cs="Times New Roman"/>
          </w:rPr>
          <w:t xml:space="preserve">                                                                                                                        </w:t>
        </w:r>
        <w:r w:rsidRPr="00710189">
          <w:rPr>
            <w:rFonts w:ascii="Times New Roman" w:hAnsi="Times New Roman" w:cs="Times New Roman"/>
          </w:rPr>
          <w:fldChar w:fldCharType="begin"/>
        </w:r>
        <w:r w:rsidRPr="00710189">
          <w:rPr>
            <w:rFonts w:ascii="Times New Roman" w:hAnsi="Times New Roman" w:cs="Times New Roman"/>
          </w:rPr>
          <w:instrText xml:space="preserve"> PAGE   \* MERGEFORMAT </w:instrText>
        </w:r>
        <w:r w:rsidRPr="00710189">
          <w:rPr>
            <w:rFonts w:ascii="Times New Roman" w:hAnsi="Times New Roman" w:cs="Times New Roman"/>
          </w:rPr>
          <w:fldChar w:fldCharType="separate"/>
        </w:r>
        <w:r w:rsidR="007A5548">
          <w:rPr>
            <w:rFonts w:ascii="Times New Roman" w:hAnsi="Times New Roman" w:cs="Times New Roman"/>
            <w:noProof/>
          </w:rPr>
          <w:t>6</w:t>
        </w:r>
        <w:r w:rsidRPr="00710189">
          <w:rPr>
            <w:rFonts w:ascii="Times New Roman" w:hAnsi="Times New Roman" w:cs="Times New Roman"/>
            <w:noProof/>
          </w:rPr>
          <w:fldChar w:fldCharType="end"/>
        </w:r>
      </w:p>
    </w:sdtContent>
  </w:sdt>
  <w:p w14:paraId="2AF6F2CF" w14:textId="77777777" w:rsidR="00710189" w:rsidRDefault="00554B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74645049"/>
      <w:docPartObj>
        <w:docPartGallery w:val="Page Numbers (Top of Page)"/>
        <w:docPartUnique/>
      </w:docPartObj>
    </w:sdtPr>
    <w:sdtEndPr>
      <w:rPr>
        <w:noProof/>
      </w:rPr>
    </w:sdtEndPr>
    <w:sdtContent>
      <w:p w14:paraId="485A5ED7" w14:textId="20B0A536" w:rsidR="00E953A4" w:rsidRPr="00E953A4" w:rsidRDefault="00554B47">
        <w:pPr>
          <w:pStyle w:val="Header"/>
          <w:jc w:val="right"/>
          <w:rPr>
            <w:rFonts w:ascii="Times New Roman" w:hAnsi="Times New Roman" w:cs="Times New Roman"/>
          </w:rPr>
        </w:pPr>
        <w:r w:rsidRPr="00E953A4">
          <w:rPr>
            <w:rFonts w:ascii="Times New Roman" w:hAnsi="Times New Roman" w:cs="Times New Roman"/>
          </w:rPr>
          <w:t xml:space="preserve">Running head: SENTENCING DISPARITY </w:t>
        </w:r>
        <w:r>
          <w:rPr>
            <w:rFonts w:ascii="Times New Roman" w:hAnsi="Times New Roman" w:cs="Times New Roman"/>
          </w:rPr>
          <w:t xml:space="preserve">                                                                      </w:t>
        </w:r>
        <w:r>
          <w:rPr>
            <w:rFonts w:ascii="Times New Roman" w:hAnsi="Times New Roman" w:cs="Times New Roman"/>
          </w:rPr>
          <w:t xml:space="preserve">                         </w:t>
        </w:r>
        <w:r w:rsidRPr="00E953A4">
          <w:rPr>
            <w:rFonts w:ascii="Times New Roman" w:hAnsi="Times New Roman" w:cs="Times New Roman"/>
          </w:rPr>
          <w:fldChar w:fldCharType="begin"/>
        </w:r>
        <w:r w:rsidRPr="00E953A4">
          <w:rPr>
            <w:rFonts w:ascii="Times New Roman" w:hAnsi="Times New Roman" w:cs="Times New Roman"/>
          </w:rPr>
          <w:instrText xml:space="preserve"> PAGE   \* MERGEFORMAT </w:instrText>
        </w:r>
        <w:r w:rsidRPr="00E953A4">
          <w:rPr>
            <w:rFonts w:ascii="Times New Roman" w:hAnsi="Times New Roman" w:cs="Times New Roman"/>
          </w:rPr>
          <w:fldChar w:fldCharType="separate"/>
        </w:r>
        <w:r w:rsidR="000C385D">
          <w:rPr>
            <w:rFonts w:ascii="Times New Roman" w:hAnsi="Times New Roman" w:cs="Times New Roman"/>
            <w:noProof/>
          </w:rPr>
          <w:t>1</w:t>
        </w:r>
        <w:r w:rsidRPr="00E953A4">
          <w:rPr>
            <w:rFonts w:ascii="Times New Roman" w:hAnsi="Times New Roman" w:cs="Times New Roman"/>
            <w:noProof/>
          </w:rPr>
          <w:fldChar w:fldCharType="end"/>
        </w:r>
      </w:p>
    </w:sdtContent>
  </w:sdt>
  <w:p w14:paraId="6602BA32" w14:textId="70690A26" w:rsidR="009E59D2" w:rsidRPr="00E953A4" w:rsidRDefault="00554B47" w:rsidP="00E953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D03"/>
    <w:rsid w:val="000C385D"/>
    <w:rsid w:val="00540D03"/>
    <w:rsid w:val="00554B47"/>
    <w:rsid w:val="007A5548"/>
    <w:rsid w:val="00B67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0455CD-F08A-4609-B1E2-E5F794B8B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6EC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6EC6"/>
    <w:rPr>
      <w:color w:val="0000FF"/>
      <w:u w:val="single"/>
    </w:rPr>
  </w:style>
  <w:style w:type="paragraph" w:styleId="Header">
    <w:name w:val="header"/>
    <w:basedOn w:val="Normal"/>
    <w:link w:val="HeaderChar"/>
    <w:uiPriority w:val="99"/>
    <w:unhideWhenUsed/>
    <w:rsid w:val="009E59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9D2"/>
  </w:style>
  <w:style w:type="paragraph" w:styleId="Footer">
    <w:name w:val="footer"/>
    <w:basedOn w:val="Normal"/>
    <w:link w:val="FooterChar"/>
    <w:uiPriority w:val="99"/>
    <w:unhideWhenUsed/>
    <w:rsid w:val="009E59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9D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67E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E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92EAB-3128-47D9-9C1A-BBEC40349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6</Pages>
  <Words>1035</Words>
  <Characters>5905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27</cp:revision>
  <dcterms:created xsi:type="dcterms:W3CDTF">2018-02-02T18:10:00Z</dcterms:created>
  <dcterms:modified xsi:type="dcterms:W3CDTF">2018-02-02T11:27:00Z</dcterms:modified>
</cp:coreProperties>
</file>